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776A4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58E5C81" wp14:editId="217F9D41">
          <wp:simplePos x="0" y="0"/>
          <wp:positionH relativeFrom="column">
            <wp:posOffset>8115300</wp:posOffset>
          </wp:positionH>
          <wp:positionV relativeFrom="paragraph">
            <wp:posOffset>-719455</wp:posOffset>
          </wp:positionV>
          <wp:extent cx="2841625" cy="1114425"/>
          <wp:effectExtent l="0" t="0" r="0" b="0"/>
          <wp:wrapTight wrapText="bothSides">
            <wp:wrapPolygon edited="0">
              <wp:start x="0" y="0"/>
              <wp:lineTo x="0" y="21415"/>
              <wp:lineTo x="21431" y="21415"/>
              <wp:lineTo x="21431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Gestión Pública-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1114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67BBD48" wp14:editId="5419223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14</cp:revision>
  <cp:lastPrinted>2016-02-24T21:12:00Z</cp:lastPrinted>
  <dcterms:created xsi:type="dcterms:W3CDTF">2016-02-23T19:28:00Z</dcterms:created>
  <dcterms:modified xsi:type="dcterms:W3CDTF">2020-01-15T20:20:00Z</dcterms:modified>
</cp:coreProperties>
</file>